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9F185" w14:textId="64898CA2" w:rsidR="0086372E" w:rsidRDefault="0086372E" w:rsidP="0086372E">
      <w:pPr>
        <w:spacing w:after="0"/>
        <w:jc w:val="center"/>
        <w:rPr>
          <w:rFonts w:ascii="Times New Roman" w:hAnsi="Times New Roman" w:cs="Times New Roman"/>
          <w:b/>
          <w:bCs/>
          <w:sz w:val="24"/>
          <w:szCs w:val="24"/>
        </w:rPr>
      </w:pPr>
      <w:r>
        <w:rPr>
          <w:rFonts w:ascii="Times New Roman" w:hAnsi="Times New Roman" w:cs="Times New Roman"/>
          <w:b/>
          <w:bCs/>
          <w:sz w:val="24"/>
          <w:szCs w:val="24"/>
        </w:rPr>
        <w:t>ОБЗОР ИЗМЕНЕНИЙ В ЗАКОНОДАТЕЛЬСТВЕ</w:t>
      </w:r>
    </w:p>
    <w:p w14:paraId="6FACCB32" w14:textId="40BD0EBF" w:rsidR="0086372E" w:rsidRDefault="0086372E" w:rsidP="0086372E">
      <w:pPr>
        <w:spacing w:after="0"/>
        <w:jc w:val="center"/>
        <w:rPr>
          <w:rFonts w:ascii="Times New Roman" w:hAnsi="Times New Roman" w:cs="Times New Roman"/>
          <w:b/>
          <w:bCs/>
          <w:sz w:val="24"/>
          <w:szCs w:val="24"/>
        </w:rPr>
      </w:pPr>
      <w:r>
        <w:rPr>
          <w:rFonts w:ascii="Times New Roman" w:hAnsi="Times New Roman" w:cs="Times New Roman"/>
          <w:b/>
          <w:bCs/>
          <w:sz w:val="24"/>
          <w:szCs w:val="24"/>
        </w:rPr>
        <w:t>15-21 ИЮЛЯ 2024 ГОДА</w:t>
      </w:r>
    </w:p>
    <w:p w14:paraId="226AC5E6" w14:textId="77777777" w:rsidR="0086372E" w:rsidRDefault="0086372E" w:rsidP="0086372E">
      <w:pPr>
        <w:spacing w:after="0"/>
        <w:rPr>
          <w:rFonts w:ascii="Times New Roman" w:hAnsi="Times New Roman" w:cs="Times New Roman"/>
          <w:b/>
          <w:bCs/>
          <w:sz w:val="24"/>
          <w:szCs w:val="24"/>
        </w:rPr>
      </w:pPr>
    </w:p>
    <w:p w14:paraId="51422C85" w14:textId="7993492A" w:rsidR="005D3F5D" w:rsidRPr="005D3F5D" w:rsidRDefault="005D3F5D" w:rsidP="0086372E">
      <w:pPr>
        <w:spacing w:after="0"/>
        <w:jc w:val="both"/>
        <w:rPr>
          <w:rFonts w:ascii="Times New Roman" w:hAnsi="Times New Roman" w:cs="Times New Roman"/>
          <w:b/>
          <w:bCs/>
          <w:sz w:val="24"/>
          <w:szCs w:val="24"/>
        </w:rPr>
      </w:pPr>
      <w:r w:rsidRPr="005D3F5D">
        <w:rPr>
          <w:rFonts w:ascii="Times New Roman" w:hAnsi="Times New Roman" w:cs="Times New Roman"/>
          <w:b/>
          <w:bCs/>
          <w:sz w:val="24"/>
          <w:szCs w:val="24"/>
        </w:rPr>
        <w:t>Утвержден Порядок и условия предоставления многодетной семье денежной выплаты на приобретение одежды для посещения ребенком учебных занятий, в том числе спортивной формы</w:t>
      </w:r>
    </w:p>
    <w:p w14:paraId="51D0C509" w14:textId="04319272"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w:t>
      </w:r>
      <w:hyperlink r:id="rId4" w:history="1">
        <w:r w:rsidRPr="005D3F5D">
          <w:rPr>
            <w:rStyle w:val="ac"/>
            <w:rFonts w:ascii="Times New Roman" w:hAnsi="Times New Roman" w:cs="Times New Roman"/>
            <w:b/>
            <w:bCs/>
            <w:sz w:val="24"/>
            <w:szCs w:val="24"/>
          </w:rPr>
          <w:t>Постановление</w:t>
        </w:r>
      </w:hyperlink>
      <w:r w:rsidRPr="005D3F5D">
        <w:rPr>
          <w:rFonts w:ascii="Times New Roman" w:hAnsi="Times New Roman" w:cs="Times New Roman"/>
          <w:b/>
          <w:bCs/>
          <w:sz w:val="24"/>
          <w:szCs w:val="24"/>
        </w:rPr>
        <w:t> Правительства Свердловской области от 27.06.2024 N 432-ПП</w:t>
      </w:r>
    </w:p>
    <w:p w14:paraId="64BCB11E" w14:textId="5544C52F"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Определено, что денежная выплата на приобретение одежды для посещения ребенком учебных занятий, в том числе спортивной формы, предоставляется многодетной семье на каждого ребенка, обучающегося в общеобразовательной организации, 1 раз в два календарных года при соблюдении следующих условий:</w:t>
      </w:r>
    </w:p>
    <w:p w14:paraId="35E3B52C"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многодетная семья имеет 3 и более детей (в том числе принятых в семью на воспитание) в возрасте до 18 лет, а также в возрасте до 23 лет при условии их обучения в организациях, осуществляющих образовательную деятельность, по очной форме обучения;</w:t>
      </w:r>
    </w:p>
    <w:p w14:paraId="7BAA3AB0"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многодетная семья имеет среднедушевой доход, не превышающий двукратной величины прожиточного минимума на душу населения, установленной в Свердловской области;</w:t>
      </w:r>
    </w:p>
    <w:p w14:paraId="4C9A6CBF"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обучающийся обучается в общеобразовательной организации, расположенной на территории Свердловской области;</w:t>
      </w:r>
    </w:p>
    <w:p w14:paraId="5B4AAA23"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родитель (законный представитель) обучающегося, обратившийся за предоставлением денежной выплаты, проживает на территории Свердловской области;</w:t>
      </w:r>
    </w:p>
    <w:p w14:paraId="5A6DD6E2"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обучающийся не находится на полном государственном обеспечении.</w:t>
      </w:r>
    </w:p>
    <w:p w14:paraId="42D97198"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Предоставление денежной выплаты осуществляется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по месту жительства либо по месту пребывания на территории Свердловской области родителя (законного представителя) обучающегося на основании его заявления о предоставлении денежной выплаты, а также предусмотренных документов и сведений.</w:t>
      </w:r>
    </w:p>
    <w:p w14:paraId="2AE7B7BA"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Признано утратившим силу Постановление Правительства Свердловской области от 29.01.2016 N 58-ПП с внесенными изменениями.</w:t>
      </w:r>
    </w:p>
    <w:p w14:paraId="73C592C9" w14:textId="77777777" w:rsidR="005D3F5D" w:rsidRPr="005D3F5D" w:rsidRDefault="005D3F5D" w:rsidP="0086372E">
      <w:pPr>
        <w:spacing w:after="0"/>
        <w:jc w:val="both"/>
        <w:rPr>
          <w:rFonts w:ascii="Times New Roman" w:hAnsi="Times New Roman" w:cs="Times New Roman"/>
          <w:b/>
          <w:bCs/>
          <w:sz w:val="24"/>
          <w:szCs w:val="24"/>
        </w:rPr>
      </w:pPr>
      <w:r w:rsidRPr="005D3F5D">
        <w:rPr>
          <w:rFonts w:ascii="Times New Roman" w:hAnsi="Times New Roman" w:cs="Times New Roman"/>
          <w:b/>
          <w:bCs/>
          <w:sz w:val="24"/>
          <w:szCs w:val="24"/>
        </w:rPr>
        <w:t>Установлен размер единовременного пособия на обзаведение хозяйством</w:t>
      </w:r>
    </w:p>
    <w:p w14:paraId="7D9D2DDD"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w:t>
      </w:r>
    </w:p>
    <w:p w14:paraId="11F57970" w14:textId="77777777" w:rsidR="005D3F5D" w:rsidRPr="005D3F5D" w:rsidRDefault="005D3F5D" w:rsidP="0086372E">
      <w:pPr>
        <w:spacing w:after="0"/>
        <w:jc w:val="both"/>
        <w:rPr>
          <w:rFonts w:ascii="Times New Roman" w:hAnsi="Times New Roman" w:cs="Times New Roman"/>
          <w:sz w:val="24"/>
          <w:szCs w:val="24"/>
        </w:rPr>
      </w:pPr>
      <w:hyperlink r:id="rId5" w:history="1">
        <w:r w:rsidRPr="005D3F5D">
          <w:rPr>
            <w:rStyle w:val="ac"/>
            <w:rFonts w:ascii="Times New Roman" w:hAnsi="Times New Roman" w:cs="Times New Roman"/>
            <w:b/>
            <w:bCs/>
            <w:sz w:val="24"/>
            <w:szCs w:val="24"/>
          </w:rPr>
          <w:t>Постановление</w:t>
        </w:r>
      </w:hyperlink>
      <w:r w:rsidRPr="005D3F5D">
        <w:rPr>
          <w:rFonts w:ascii="Times New Roman" w:hAnsi="Times New Roman" w:cs="Times New Roman"/>
          <w:b/>
          <w:bCs/>
          <w:sz w:val="24"/>
          <w:szCs w:val="24"/>
        </w:rPr>
        <w:t> Правительства Свердловской области от 18.07.2024 N 479-ПП</w:t>
      </w:r>
    </w:p>
    <w:p w14:paraId="114084CC"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С 1 сентября 2024 года будут установлены следующие размеры единовременного пособия на обзаведение хозяйством, предусмотренного областными законами "О культурной деятельности на территории Свердловской области", "Об охране здоровья граждан в Свердловской области", "Об образовании в Свердловской области" и "О социальном обслуживании граждан в Свердловской области":</w:t>
      </w:r>
    </w:p>
    <w:p w14:paraId="7333480B"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- 150 тыс. руб. - специалистам, поступившим на работу в государственные образовательные организации Свердловской области или муниципальные образовательные организации, осуществляющие деятельность на территории Свердловской области, областные государственные организации здравоохранения или муниципальные медицинские организации, осуществляющие деятельность на территории Свердловской области, организации социального обслуживания граждан, находящихся в ведении Свердловской области, областные государственные учреждения культуры или искусства либо муниципальные учреждения культуры или искусства, осуществляющие деятельность на территории Свердловской области, расположенные в сельской местности;</w:t>
      </w:r>
    </w:p>
    <w:p w14:paraId="115FC835"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- 100 тыс. руб. - специалистам, поступившим на работу в указанные организации и учреждения, расположенные в населенных пунктах, не отнесенных к сельской местности.</w:t>
      </w:r>
    </w:p>
    <w:p w14:paraId="79850B93" w14:textId="77777777" w:rsidR="0086372E" w:rsidRDefault="0086372E" w:rsidP="0086372E">
      <w:pPr>
        <w:spacing w:after="0"/>
        <w:jc w:val="both"/>
        <w:rPr>
          <w:rFonts w:ascii="Times New Roman" w:hAnsi="Times New Roman" w:cs="Times New Roman"/>
          <w:b/>
          <w:bCs/>
          <w:sz w:val="24"/>
          <w:szCs w:val="24"/>
        </w:rPr>
      </w:pPr>
    </w:p>
    <w:p w14:paraId="7C4251FB" w14:textId="001A01D0" w:rsidR="005D3F5D" w:rsidRPr="005D3F5D" w:rsidRDefault="005D3F5D" w:rsidP="0086372E">
      <w:pPr>
        <w:spacing w:after="0"/>
        <w:jc w:val="both"/>
        <w:rPr>
          <w:rFonts w:ascii="Times New Roman" w:hAnsi="Times New Roman" w:cs="Times New Roman"/>
          <w:b/>
          <w:bCs/>
          <w:sz w:val="24"/>
          <w:szCs w:val="24"/>
        </w:rPr>
      </w:pPr>
      <w:r w:rsidRPr="005D3F5D">
        <w:rPr>
          <w:rFonts w:ascii="Times New Roman" w:hAnsi="Times New Roman" w:cs="Times New Roman"/>
          <w:b/>
          <w:bCs/>
          <w:sz w:val="24"/>
          <w:szCs w:val="24"/>
        </w:rPr>
        <w:t>Семьи с двумя и более детьми будут получать ежегодную семейную выплату</w:t>
      </w:r>
    </w:p>
    <w:p w14:paraId="174FF93B" w14:textId="77777777" w:rsidR="005D3F5D" w:rsidRPr="005D3F5D" w:rsidRDefault="005D3F5D" w:rsidP="0086372E">
      <w:pPr>
        <w:spacing w:after="0"/>
        <w:jc w:val="both"/>
        <w:rPr>
          <w:rFonts w:ascii="Times New Roman" w:hAnsi="Times New Roman" w:cs="Times New Roman"/>
          <w:sz w:val="24"/>
          <w:szCs w:val="24"/>
        </w:rPr>
      </w:pPr>
      <w:hyperlink r:id="rId6" w:history="1">
        <w:r w:rsidRPr="005D3F5D">
          <w:rPr>
            <w:rStyle w:val="ac"/>
            <w:rFonts w:ascii="Times New Roman" w:hAnsi="Times New Roman" w:cs="Times New Roman"/>
            <w:b/>
            <w:bCs/>
            <w:sz w:val="24"/>
            <w:szCs w:val="24"/>
          </w:rPr>
          <w:t>Федеральный закон от 13.07.2024 N 179-ФЗ</w:t>
        </w:r>
        <w:r w:rsidRPr="005D3F5D">
          <w:rPr>
            <w:rStyle w:val="ac"/>
            <w:rFonts w:ascii="Times New Roman" w:hAnsi="Times New Roman" w:cs="Times New Roman"/>
            <w:b/>
            <w:bCs/>
            <w:sz w:val="24"/>
            <w:szCs w:val="24"/>
          </w:rPr>
          <w:br/>
          <w:t>"О ежегодной семейной выплате гражданам Российской Федерации, имеющим двух и более детей"</w:t>
        </w:r>
      </w:hyperlink>
    </w:p>
    <w:p w14:paraId="72190766" w14:textId="77777777" w:rsidR="005D3F5D" w:rsidRPr="005D3F5D" w:rsidRDefault="005D3F5D" w:rsidP="0086372E">
      <w:pPr>
        <w:spacing w:after="0"/>
        <w:jc w:val="both"/>
        <w:rPr>
          <w:rFonts w:ascii="Times New Roman" w:hAnsi="Times New Roman" w:cs="Times New Roman"/>
          <w:b/>
          <w:bCs/>
          <w:sz w:val="24"/>
          <w:szCs w:val="24"/>
        </w:rPr>
      </w:pPr>
      <w:r w:rsidRPr="005D3F5D">
        <w:rPr>
          <w:rFonts w:ascii="Times New Roman" w:hAnsi="Times New Roman" w:cs="Times New Roman"/>
          <w:b/>
          <w:bCs/>
          <w:sz w:val="24"/>
          <w:szCs w:val="24"/>
        </w:rPr>
        <w:t> </w:t>
      </w:r>
    </w:p>
    <w:p w14:paraId="453DD262"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Подписанным законом право на получение выплаты предоставляется работающим родителям, имеющим двух и более детей, являющихся гражданами РФ и постоянно проживающих на территории РФ, при условии что родители также являются гражданами РФ, постоянно проживают на территории РФ, являются налоговыми резидентами и с их доходов уплачен НДФЛ в году, предшествующем году обращения за назначением выплаты.</w:t>
      </w:r>
    </w:p>
    <w:p w14:paraId="6FBCDD07"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Получить выплату можно в случае, если размер среднедушевого дохода семьи не превышает 1,5-кратную величину прожиточного минимума на душу населения, установленную в регионе по месту жительства (пребывания) или фактического проживания заявителя.</w:t>
      </w:r>
    </w:p>
    <w:p w14:paraId="3B78572B"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Семейная налоговая выплата производится территориальными органами СФР каждому из родителей при отсутствии у них задолженности по уплате алиментов. Учитываются дети в возрасте до 18 лет, а также дети в возрасте до 23 лет, если они обучаются по очной форме обучения (за исключением обучения по дополнительным образовательным программам).</w:t>
      </w:r>
    </w:p>
    <w:p w14:paraId="12B4EFC1"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Размер ежегодной выплаты будет определяться в виде разницы между суммой исчисленного НДФЛ с доходов заявителя за год, предшествующий году обращения за указанной выплатой, и суммой, исчисленной с того же дохода по ставке 6 процентов в полном объеме.</w:t>
      </w:r>
    </w:p>
    <w:p w14:paraId="425E7E81"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Получение семейной налоговой выплаты не будет учитываться при определении права на получение иных выплат и мер социальной поддержки.</w:t>
      </w:r>
    </w:p>
    <w:p w14:paraId="3E27E7F7"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Федеральный закон вступает в силу с 1 января 2026 года.</w:t>
      </w:r>
    </w:p>
    <w:p w14:paraId="230C3504" w14:textId="77777777" w:rsidR="0086372E" w:rsidRDefault="0086372E" w:rsidP="0086372E">
      <w:pPr>
        <w:spacing w:after="0"/>
        <w:jc w:val="both"/>
        <w:rPr>
          <w:rFonts w:ascii="Times New Roman" w:hAnsi="Times New Roman" w:cs="Times New Roman"/>
          <w:b/>
          <w:bCs/>
          <w:sz w:val="24"/>
          <w:szCs w:val="24"/>
        </w:rPr>
      </w:pPr>
    </w:p>
    <w:p w14:paraId="435F55A7" w14:textId="1A9A0DB2" w:rsidR="005D3F5D" w:rsidRPr="005D3F5D" w:rsidRDefault="005D3F5D" w:rsidP="0086372E">
      <w:pPr>
        <w:spacing w:after="0"/>
        <w:jc w:val="both"/>
        <w:rPr>
          <w:rFonts w:ascii="Times New Roman" w:hAnsi="Times New Roman" w:cs="Times New Roman"/>
          <w:b/>
          <w:bCs/>
          <w:sz w:val="24"/>
          <w:szCs w:val="24"/>
        </w:rPr>
      </w:pPr>
      <w:r w:rsidRPr="005D3F5D">
        <w:rPr>
          <w:rFonts w:ascii="Times New Roman" w:hAnsi="Times New Roman" w:cs="Times New Roman"/>
          <w:b/>
          <w:bCs/>
          <w:sz w:val="24"/>
          <w:szCs w:val="24"/>
        </w:rPr>
        <w:t>Утверждены методические рекомендации по обеспечению санитарно-эпидемиологического благополучия при перевозке организованных групп детей</w:t>
      </w:r>
    </w:p>
    <w:p w14:paraId="3B65CEFF" w14:textId="77777777" w:rsidR="005D3F5D" w:rsidRPr="005D3F5D" w:rsidRDefault="005D3F5D" w:rsidP="0086372E">
      <w:pPr>
        <w:spacing w:after="0"/>
        <w:jc w:val="both"/>
        <w:rPr>
          <w:rFonts w:ascii="Times New Roman" w:hAnsi="Times New Roman" w:cs="Times New Roman"/>
          <w:sz w:val="24"/>
          <w:szCs w:val="24"/>
        </w:rPr>
      </w:pPr>
      <w:hyperlink r:id="rId7" w:history="1">
        <w:r w:rsidRPr="005D3F5D">
          <w:rPr>
            <w:rStyle w:val="ac"/>
            <w:rFonts w:ascii="Times New Roman" w:hAnsi="Times New Roman" w:cs="Times New Roman"/>
            <w:b/>
            <w:bCs/>
            <w:sz w:val="24"/>
            <w:szCs w:val="24"/>
          </w:rPr>
          <w:t>"МР 2.4.0348-24. 2.4. Гигиена детей и подростков. Методические рекомендации по обеспечению санитарно-эпидемиологического благополучия при перевозке организованных групп детей. Методические рекомендации"</w:t>
        </w:r>
        <w:r w:rsidRPr="005D3F5D">
          <w:rPr>
            <w:rStyle w:val="ac"/>
            <w:rFonts w:ascii="Times New Roman" w:hAnsi="Times New Roman" w:cs="Times New Roman"/>
            <w:b/>
            <w:bCs/>
            <w:sz w:val="24"/>
            <w:szCs w:val="24"/>
          </w:rPr>
          <w:br/>
          <w:t>(утв. Главным государственным санитарным врачом РФ 10.07.2024)</w:t>
        </w:r>
      </w:hyperlink>
    </w:p>
    <w:p w14:paraId="0C16EA44" w14:textId="265A9BA5"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b/>
          <w:bCs/>
          <w:sz w:val="24"/>
          <w:szCs w:val="24"/>
        </w:rPr>
        <w:t> </w:t>
      </w:r>
      <w:r w:rsidRPr="005D3F5D">
        <w:rPr>
          <w:rFonts w:ascii="Times New Roman" w:hAnsi="Times New Roman" w:cs="Times New Roman"/>
          <w:sz w:val="24"/>
          <w:szCs w:val="24"/>
        </w:rPr>
        <w:t>Документ содержит обобщенные сведения и рекомендации по обеспечению санитарно-эпидемиологического благополучия при перевозке организованных групп детей различными видами транспорта вне зависимости от целей поездок.</w:t>
      </w:r>
    </w:p>
    <w:p w14:paraId="6625F7A3"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Методические рекомендации предназначены для их использования в практической работе специалистами территориальных органов и учреждений Роспотребнадзора, юридическими и физическими лицами, в том числе ИП, при организации перевозок детских групп различными видами транспорта к месту назначения и обратно в возрасте до 18 лет с количеством в группе 8 детей и более, не являющимися членами одной семьи.</w:t>
      </w:r>
    </w:p>
    <w:p w14:paraId="599A0640"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Организаторам поездок детских групп рекомендуется направлять информацию в территориальные органы Роспотребнадзора по месту формирования групп о планируемых сроках отправки к месту назначения и обратно и количестве детей за 2 недели до поездки, но не менее чем за 3 рабочих дня до отправления группы.</w:t>
      </w:r>
    </w:p>
    <w:p w14:paraId="04EE9D85"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В приложении к методическим рекомендациям представлен рекомендуемый образец уведомления о перевозке детских групп.</w:t>
      </w:r>
    </w:p>
    <w:p w14:paraId="511DA9BE"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 </w:t>
      </w:r>
    </w:p>
    <w:p w14:paraId="3DAFB913" w14:textId="77777777" w:rsidR="005D3F5D" w:rsidRPr="005D3F5D" w:rsidRDefault="005D3F5D" w:rsidP="0086372E">
      <w:pPr>
        <w:spacing w:after="0"/>
        <w:jc w:val="both"/>
        <w:rPr>
          <w:rFonts w:ascii="Times New Roman" w:hAnsi="Times New Roman" w:cs="Times New Roman"/>
          <w:b/>
          <w:bCs/>
          <w:sz w:val="24"/>
          <w:szCs w:val="24"/>
        </w:rPr>
      </w:pPr>
      <w:r w:rsidRPr="005D3F5D">
        <w:rPr>
          <w:rFonts w:ascii="Times New Roman" w:hAnsi="Times New Roman" w:cs="Times New Roman"/>
          <w:b/>
          <w:bCs/>
          <w:sz w:val="24"/>
          <w:szCs w:val="24"/>
        </w:rPr>
        <w:t>Минздравом разъяснены некоторые вопросы проведения вакцинации против COVID-19</w:t>
      </w:r>
    </w:p>
    <w:p w14:paraId="195BE113" w14:textId="77777777" w:rsidR="005D3F5D" w:rsidRPr="005D3F5D" w:rsidRDefault="005D3F5D" w:rsidP="0086372E">
      <w:pPr>
        <w:spacing w:after="0"/>
        <w:jc w:val="both"/>
        <w:rPr>
          <w:rFonts w:ascii="Times New Roman" w:hAnsi="Times New Roman" w:cs="Times New Roman"/>
          <w:sz w:val="24"/>
          <w:szCs w:val="24"/>
        </w:rPr>
      </w:pPr>
      <w:hyperlink r:id="rId8" w:history="1">
        <w:r w:rsidRPr="005D3F5D">
          <w:rPr>
            <w:rStyle w:val="ac"/>
            <w:rFonts w:ascii="Times New Roman" w:hAnsi="Times New Roman" w:cs="Times New Roman"/>
            <w:b/>
            <w:bCs/>
            <w:sz w:val="24"/>
            <w:szCs w:val="24"/>
          </w:rPr>
          <w:t>&lt;Письмо&gt; Минздрава России от 18.06.2024 N 30-4/2753</w:t>
        </w:r>
        <w:r w:rsidRPr="005D3F5D">
          <w:rPr>
            <w:rStyle w:val="ac"/>
            <w:rFonts w:ascii="Times New Roman" w:hAnsi="Times New Roman" w:cs="Times New Roman"/>
            <w:b/>
            <w:bCs/>
            <w:sz w:val="24"/>
            <w:szCs w:val="24"/>
          </w:rPr>
          <w:br/>
          <w:t>&lt;О вакцинации против COVID-19&gt;</w:t>
        </w:r>
      </w:hyperlink>
    </w:p>
    <w:p w14:paraId="5F5BF6C8" w14:textId="7D11BD76"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b/>
          <w:bCs/>
          <w:sz w:val="24"/>
          <w:szCs w:val="24"/>
        </w:rPr>
        <w:t> </w:t>
      </w:r>
      <w:r w:rsidRPr="005D3F5D">
        <w:rPr>
          <w:rFonts w:ascii="Times New Roman" w:hAnsi="Times New Roman" w:cs="Times New Roman"/>
          <w:sz w:val="24"/>
          <w:szCs w:val="24"/>
        </w:rPr>
        <w:t xml:space="preserve">Отмечено, что прививка против коронавирусной инфекции, вызываемой вирусом SARS-CoV-2, включена в календарь профилактических прививок по эпидемическим показаниям, определены </w:t>
      </w:r>
      <w:r w:rsidRPr="005D3F5D">
        <w:rPr>
          <w:rFonts w:ascii="Times New Roman" w:hAnsi="Times New Roman" w:cs="Times New Roman"/>
          <w:sz w:val="24"/>
          <w:szCs w:val="24"/>
        </w:rPr>
        <w:lastRenderedPageBreak/>
        <w:t>приоритетные категории граждан, подлежащие вакцинации. Вакцинация против COVID-19 является добровольной и в настоящее время носит рекомендательный характер.</w:t>
      </w:r>
    </w:p>
    <w:p w14:paraId="66175043" w14:textId="77777777"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sz w:val="24"/>
          <w:szCs w:val="24"/>
        </w:rPr>
        <w:t>Согласно пункту 3 статьи 11 Федерального закона от 17.09.1998 N 157-ФЗ "Об иммунопрофилактике инфекционных болезней" профилактические прививки проводятся гражданам, не имеющим медицинских противопоказаний. Наличие антител к новой коронавирусной инфекции (COVID-19) не относится к числу противопоказаний к вакцинации.</w:t>
      </w:r>
    </w:p>
    <w:p w14:paraId="538B465B" w14:textId="77777777" w:rsidR="0086372E" w:rsidRDefault="0086372E" w:rsidP="0086372E">
      <w:pPr>
        <w:spacing w:after="0"/>
        <w:jc w:val="both"/>
        <w:rPr>
          <w:rFonts w:ascii="Times New Roman" w:hAnsi="Times New Roman" w:cs="Times New Roman"/>
          <w:b/>
          <w:bCs/>
          <w:sz w:val="24"/>
          <w:szCs w:val="24"/>
        </w:rPr>
      </w:pPr>
    </w:p>
    <w:p w14:paraId="29E019F1" w14:textId="2C9E64BC" w:rsidR="005D3F5D" w:rsidRPr="005D3F5D" w:rsidRDefault="005D3F5D" w:rsidP="0086372E">
      <w:pPr>
        <w:spacing w:after="0"/>
        <w:jc w:val="both"/>
        <w:rPr>
          <w:rFonts w:ascii="Times New Roman" w:hAnsi="Times New Roman" w:cs="Times New Roman"/>
          <w:b/>
          <w:bCs/>
          <w:sz w:val="24"/>
          <w:szCs w:val="24"/>
        </w:rPr>
      </w:pPr>
      <w:r w:rsidRPr="005D3F5D">
        <w:rPr>
          <w:rFonts w:ascii="Times New Roman" w:hAnsi="Times New Roman" w:cs="Times New Roman"/>
          <w:b/>
          <w:bCs/>
          <w:sz w:val="24"/>
          <w:szCs w:val="24"/>
        </w:rPr>
        <w:t>До 31 декабря 2024 года продлен срок действия межотраслевого соглашения по организациям, подведомственным Минобрнауки России</w:t>
      </w:r>
    </w:p>
    <w:p w14:paraId="154FEBCD" w14:textId="77777777" w:rsidR="005D3F5D" w:rsidRPr="005D3F5D" w:rsidRDefault="005D3F5D" w:rsidP="0086372E">
      <w:pPr>
        <w:spacing w:after="0"/>
        <w:jc w:val="both"/>
        <w:rPr>
          <w:rFonts w:ascii="Times New Roman" w:hAnsi="Times New Roman" w:cs="Times New Roman"/>
          <w:sz w:val="24"/>
          <w:szCs w:val="24"/>
        </w:rPr>
      </w:pPr>
      <w:hyperlink r:id="rId9" w:history="1">
        <w:r w:rsidRPr="005D3F5D">
          <w:rPr>
            <w:rStyle w:val="ac"/>
            <w:rFonts w:ascii="Times New Roman" w:hAnsi="Times New Roman" w:cs="Times New Roman"/>
            <w:b/>
            <w:bCs/>
            <w:sz w:val="24"/>
            <w:szCs w:val="24"/>
          </w:rPr>
          <w:t>"Дополнительное соглашение о продлении срока действия на 2024 год Межотраслевого соглашения по организациям, подведомственным Министерству науки и высшего образования Российской Федерации, на 2021 - 2023 годы и внесении в него изменений"</w:t>
        </w:r>
        <w:r w:rsidRPr="005D3F5D">
          <w:rPr>
            <w:rStyle w:val="ac"/>
            <w:rFonts w:ascii="Times New Roman" w:hAnsi="Times New Roman" w:cs="Times New Roman"/>
            <w:b/>
            <w:bCs/>
            <w:sz w:val="24"/>
            <w:szCs w:val="24"/>
          </w:rPr>
          <w:br/>
          <w:t>(утв. Всероссийским профсоюзом работников Российской академии наук, Минобрнауки России, Профсоюзом работников здравоохранения РФ, Общероссийской общественной организацией Профсоюзом работников агропромышленного комплекса РФ 07.06.2024)</w:t>
        </w:r>
      </w:hyperlink>
    </w:p>
    <w:p w14:paraId="7BCA2CF3" w14:textId="2116E488" w:rsidR="005D3F5D" w:rsidRPr="005D3F5D" w:rsidRDefault="005D3F5D" w:rsidP="0086372E">
      <w:pPr>
        <w:spacing w:after="0"/>
        <w:jc w:val="both"/>
        <w:rPr>
          <w:rFonts w:ascii="Times New Roman" w:hAnsi="Times New Roman" w:cs="Times New Roman"/>
          <w:sz w:val="24"/>
          <w:szCs w:val="24"/>
        </w:rPr>
      </w:pPr>
      <w:r w:rsidRPr="005D3F5D">
        <w:rPr>
          <w:rFonts w:ascii="Times New Roman" w:hAnsi="Times New Roman" w:cs="Times New Roman"/>
          <w:b/>
          <w:bCs/>
          <w:sz w:val="24"/>
          <w:szCs w:val="24"/>
        </w:rPr>
        <w:t> </w:t>
      </w:r>
      <w:r w:rsidRPr="005D3F5D">
        <w:rPr>
          <w:rFonts w:ascii="Times New Roman" w:hAnsi="Times New Roman" w:cs="Times New Roman"/>
          <w:sz w:val="24"/>
          <w:szCs w:val="24"/>
        </w:rPr>
        <w:t>Коллективные переговоры по разработке и заключению нового соглашения должны быть начаты не позднее 1 октября 2024 года.</w:t>
      </w:r>
    </w:p>
    <w:p w14:paraId="5E77A0C0" w14:textId="77777777" w:rsidR="0086372E" w:rsidRDefault="0086372E" w:rsidP="0086372E">
      <w:pPr>
        <w:spacing w:after="0"/>
        <w:jc w:val="both"/>
        <w:rPr>
          <w:rFonts w:ascii="Times New Roman" w:hAnsi="Times New Roman" w:cs="Times New Roman"/>
          <w:b/>
          <w:bCs/>
          <w:sz w:val="24"/>
          <w:szCs w:val="24"/>
        </w:rPr>
      </w:pPr>
    </w:p>
    <w:p w14:paraId="76305A26" w14:textId="0649F639" w:rsidR="004132D6" w:rsidRPr="004132D6" w:rsidRDefault="004132D6" w:rsidP="0086372E">
      <w:pPr>
        <w:spacing w:after="0"/>
        <w:jc w:val="both"/>
        <w:rPr>
          <w:rFonts w:ascii="Times New Roman" w:hAnsi="Times New Roman" w:cs="Times New Roman"/>
          <w:b/>
          <w:bCs/>
          <w:sz w:val="24"/>
          <w:szCs w:val="24"/>
        </w:rPr>
      </w:pPr>
      <w:r w:rsidRPr="004132D6">
        <w:rPr>
          <w:rFonts w:ascii="Times New Roman" w:hAnsi="Times New Roman" w:cs="Times New Roman"/>
          <w:b/>
          <w:bCs/>
          <w:sz w:val="24"/>
          <w:szCs w:val="24"/>
        </w:rPr>
        <w:t>Минпросвещения разъяснило некоторые особенности предоставления академической стипендии обучающемуся при устранении академической задолженности</w:t>
      </w:r>
    </w:p>
    <w:p w14:paraId="37FF6129" w14:textId="77777777" w:rsidR="004132D6" w:rsidRPr="004132D6" w:rsidRDefault="004132D6" w:rsidP="0086372E">
      <w:pPr>
        <w:spacing w:after="0"/>
        <w:jc w:val="both"/>
        <w:rPr>
          <w:rFonts w:ascii="Times New Roman" w:hAnsi="Times New Roman" w:cs="Times New Roman"/>
          <w:sz w:val="24"/>
          <w:szCs w:val="24"/>
        </w:rPr>
      </w:pPr>
      <w:hyperlink r:id="rId10" w:history="1">
        <w:r w:rsidRPr="004132D6">
          <w:rPr>
            <w:rStyle w:val="ac"/>
            <w:rFonts w:ascii="Times New Roman" w:hAnsi="Times New Roman" w:cs="Times New Roman"/>
            <w:b/>
            <w:bCs/>
            <w:sz w:val="24"/>
            <w:szCs w:val="24"/>
          </w:rPr>
          <w:t>&lt;Письмо&gt; Минпросвещения России от 08.05.2024 N 05-ПГ-МП-23873</w:t>
        </w:r>
        <w:r w:rsidRPr="004132D6">
          <w:rPr>
            <w:rStyle w:val="ac"/>
            <w:rFonts w:ascii="Times New Roman" w:hAnsi="Times New Roman" w:cs="Times New Roman"/>
            <w:b/>
            <w:bCs/>
            <w:sz w:val="24"/>
            <w:szCs w:val="24"/>
          </w:rPr>
          <w:br/>
          <w:t>"О рассмотрении обращения"</w:t>
        </w:r>
      </w:hyperlink>
    </w:p>
    <w:p w14:paraId="233CB479" w14:textId="2E5EE0DC" w:rsidR="004132D6" w:rsidRPr="004132D6" w:rsidRDefault="004132D6" w:rsidP="0086372E">
      <w:pPr>
        <w:spacing w:after="0"/>
        <w:jc w:val="both"/>
        <w:rPr>
          <w:rFonts w:ascii="Times New Roman" w:hAnsi="Times New Roman" w:cs="Times New Roman"/>
          <w:sz w:val="24"/>
          <w:szCs w:val="24"/>
        </w:rPr>
      </w:pPr>
      <w:r w:rsidRPr="004132D6">
        <w:rPr>
          <w:rFonts w:ascii="Times New Roman" w:hAnsi="Times New Roman" w:cs="Times New Roman"/>
          <w:b/>
          <w:bCs/>
          <w:sz w:val="24"/>
          <w:szCs w:val="24"/>
        </w:rPr>
        <w:t> </w:t>
      </w:r>
      <w:r w:rsidRPr="004132D6">
        <w:rPr>
          <w:rFonts w:ascii="Times New Roman" w:hAnsi="Times New Roman" w:cs="Times New Roman"/>
          <w:sz w:val="24"/>
          <w:szCs w:val="24"/>
        </w:rPr>
        <w:t>Сообщается, что в федеральном законодательстве не регламентирован порядок предоставления обучающемуся академической стипендии при устранении задолженности.</w:t>
      </w:r>
    </w:p>
    <w:p w14:paraId="6AE441D3" w14:textId="77777777" w:rsidR="004132D6" w:rsidRPr="004132D6" w:rsidRDefault="004132D6" w:rsidP="0086372E">
      <w:pPr>
        <w:spacing w:after="0"/>
        <w:jc w:val="both"/>
        <w:rPr>
          <w:rFonts w:ascii="Times New Roman" w:hAnsi="Times New Roman" w:cs="Times New Roman"/>
          <w:sz w:val="24"/>
          <w:szCs w:val="24"/>
        </w:rPr>
      </w:pPr>
      <w:r w:rsidRPr="004132D6">
        <w:rPr>
          <w:rFonts w:ascii="Times New Roman" w:hAnsi="Times New Roman" w:cs="Times New Roman"/>
          <w:sz w:val="24"/>
          <w:szCs w:val="24"/>
        </w:rPr>
        <w:t>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РФ и местных бюджетов, устанавливается соответственно органами государственной власти субъектов РФ и органами местного самоуправления.</w:t>
      </w:r>
    </w:p>
    <w:p w14:paraId="51BE1A83" w14:textId="77777777" w:rsidR="004132D6" w:rsidRPr="004132D6" w:rsidRDefault="004132D6" w:rsidP="0086372E">
      <w:pPr>
        <w:spacing w:after="0"/>
        <w:jc w:val="both"/>
        <w:rPr>
          <w:rFonts w:ascii="Times New Roman" w:hAnsi="Times New Roman" w:cs="Times New Roman"/>
          <w:sz w:val="24"/>
          <w:szCs w:val="24"/>
        </w:rPr>
      </w:pPr>
      <w:r w:rsidRPr="004132D6">
        <w:rPr>
          <w:rFonts w:ascii="Times New Roman" w:hAnsi="Times New Roman" w:cs="Times New Roman"/>
          <w:sz w:val="24"/>
          <w:szCs w:val="24"/>
        </w:rPr>
        <w:t>При этом дополнительно отмечено, что при регламентировании порядка назначения стипендий органы власти субъектов РФ должны руководствоваться порядком, утвержденным Приказом Минобрнауки от 27 декабря 2016 г. N 1663 для федерального уровня, как эталонным нормативно-правовым актом.</w:t>
      </w:r>
    </w:p>
    <w:p w14:paraId="050BEBEF" w14:textId="77777777" w:rsidR="004132D6" w:rsidRPr="004132D6" w:rsidRDefault="004132D6" w:rsidP="0086372E">
      <w:pPr>
        <w:spacing w:after="0"/>
        <w:jc w:val="both"/>
        <w:rPr>
          <w:rFonts w:ascii="Times New Roman" w:hAnsi="Times New Roman" w:cs="Times New Roman"/>
          <w:sz w:val="24"/>
          <w:szCs w:val="24"/>
        </w:rPr>
      </w:pPr>
      <w:r w:rsidRPr="004132D6">
        <w:rPr>
          <w:rFonts w:ascii="Times New Roman" w:hAnsi="Times New Roman" w:cs="Times New Roman"/>
          <w:sz w:val="24"/>
          <w:szCs w:val="24"/>
        </w:rPr>
        <w:t> </w:t>
      </w:r>
    </w:p>
    <w:p w14:paraId="2E215169" w14:textId="77777777" w:rsidR="005B04B9" w:rsidRPr="005B04B9" w:rsidRDefault="005B04B9" w:rsidP="0086372E">
      <w:pPr>
        <w:spacing w:after="0"/>
        <w:jc w:val="both"/>
        <w:rPr>
          <w:rFonts w:ascii="Times New Roman" w:hAnsi="Times New Roman" w:cs="Times New Roman"/>
          <w:b/>
          <w:bCs/>
          <w:sz w:val="24"/>
          <w:szCs w:val="24"/>
        </w:rPr>
      </w:pPr>
      <w:r w:rsidRPr="005B04B9">
        <w:rPr>
          <w:rFonts w:ascii="Times New Roman" w:hAnsi="Times New Roman" w:cs="Times New Roman"/>
          <w:b/>
          <w:bCs/>
          <w:sz w:val="24"/>
          <w:szCs w:val="24"/>
        </w:rPr>
        <w:t>СФР разъяснен механизм индексации пенсий работающим пенсионерам</w:t>
      </w:r>
    </w:p>
    <w:p w14:paraId="4F3CFFD6" w14:textId="77777777" w:rsidR="005B04B9" w:rsidRPr="005B04B9" w:rsidRDefault="005B04B9" w:rsidP="0086372E">
      <w:pPr>
        <w:spacing w:after="0"/>
        <w:jc w:val="both"/>
        <w:rPr>
          <w:rFonts w:ascii="Times New Roman" w:hAnsi="Times New Roman" w:cs="Times New Roman"/>
          <w:sz w:val="24"/>
          <w:szCs w:val="24"/>
        </w:rPr>
      </w:pPr>
      <w:hyperlink r:id="rId11" w:history="1">
        <w:r w:rsidRPr="005B04B9">
          <w:rPr>
            <w:rStyle w:val="ac"/>
            <w:rFonts w:ascii="Times New Roman" w:hAnsi="Times New Roman" w:cs="Times New Roman"/>
            <w:b/>
            <w:bCs/>
            <w:sz w:val="24"/>
            <w:szCs w:val="24"/>
          </w:rPr>
          <w:t>&lt;Информация&gt; СФР</w:t>
        </w:r>
        <w:r w:rsidRPr="005B04B9">
          <w:rPr>
            <w:rStyle w:val="ac"/>
            <w:rFonts w:ascii="Times New Roman" w:hAnsi="Times New Roman" w:cs="Times New Roman"/>
            <w:b/>
            <w:bCs/>
            <w:sz w:val="24"/>
            <w:szCs w:val="24"/>
          </w:rPr>
          <w:br/>
          <w:t>"Пенсии работающих пенсионеров начнут индексироваться с 2025 года"</w:t>
        </w:r>
      </w:hyperlink>
    </w:p>
    <w:p w14:paraId="26669154" w14:textId="08E51C1C" w:rsidR="005B04B9" w:rsidRPr="005B04B9" w:rsidRDefault="005B04B9" w:rsidP="0086372E">
      <w:pPr>
        <w:spacing w:after="0"/>
        <w:jc w:val="both"/>
        <w:rPr>
          <w:rFonts w:ascii="Times New Roman" w:hAnsi="Times New Roman" w:cs="Times New Roman"/>
          <w:sz w:val="24"/>
          <w:szCs w:val="24"/>
        </w:rPr>
      </w:pPr>
      <w:r w:rsidRPr="005B04B9">
        <w:rPr>
          <w:rFonts w:ascii="Times New Roman" w:hAnsi="Times New Roman" w:cs="Times New Roman"/>
          <w:b/>
          <w:bCs/>
          <w:sz w:val="24"/>
          <w:szCs w:val="24"/>
        </w:rPr>
        <w:t> </w:t>
      </w:r>
      <w:r w:rsidRPr="005B04B9">
        <w:rPr>
          <w:rFonts w:ascii="Times New Roman" w:hAnsi="Times New Roman" w:cs="Times New Roman"/>
          <w:sz w:val="24"/>
          <w:szCs w:val="24"/>
        </w:rPr>
        <w:t>С 2025 года все виды страховых пенсий, включая пенсии по инвалидности и по потере кормильца, будут индексироваться независимо от выполнения получателем трудовой деятельности с учетом инфляции за предыдущий год.</w:t>
      </w:r>
    </w:p>
    <w:p w14:paraId="47E20215" w14:textId="77777777" w:rsidR="005B04B9" w:rsidRPr="005B04B9" w:rsidRDefault="005B04B9" w:rsidP="0086372E">
      <w:pPr>
        <w:spacing w:after="0"/>
        <w:jc w:val="both"/>
        <w:rPr>
          <w:rFonts w:ascii="Times New Roman" w:hAnsi="Times New Roman" w:cs="Times New Roman"/>
          <w:sz w:val="24"/>
          <w:szCs w:val="24"/>
        </w:rPr>
      </w:pPr>
      <w:r w:rsidRPr="005B04B9">
        <w:rPr>
          <w:rFonts w:ascii="Times New Roman" w:hAnsi="Times New Roman" w:cs="Times New Roman"/>
          <w:sz w:val="24"/>
          <w:szCs w:val="24"/>
        </w:rPr>
        <w:t>Индексацию будут применять не к выплачиваемой пенсии, а к ее более высокому размеру, который включает пропущенные индексации.</w:t>
      </w:r>
    </w:p>
    <w:p w14:paraId="4476ACCE" w14:textId="77777777" w:rsidR="005B04B9" w:rsidRPr="005B04B9" w:rsidRDefault="005B04B9" w:rsidP="0086372E">
      <w:pPr>
        <w:spacing w:after="0"/>
        <w:jc w:val="both"/>
        <w:rPr>
          <w:rFonts w:ascii="Times New Roman" w:hAnsi="Times New Roman" w:cs="Times New Roman"/>
          <w:sz w:val="24"/>
          <w:szCs w:val="24"/>
        </w:rPr>
      </w:pPr>
      <w:r w:rsidRPr="005B04B9">
        <w:rPr>
          <w:rFonts w:ascii="Times New Roman" w:hAnsi="Times New Roman" w:cs="Times New Roman"/>
          <w:sz w:val="24"/>
          <w:szCs w:val="24"/>
        </w:rPr>
        <w:t>Так, например, если пенсия работающего пенсионера составляет 17,4 тыс. рублей, а с учетом пропущенных индексаций 23,4 тыс. рублей, то индексацию будут применять к 23,4 тыс. рублей, а затем прибавлять повышение к получаемой пенсии в размере 17,4 тыс. рублей.</w:t>
      </w:r>
    </w:p>
    <w:p w14:paraId="17D03820" w14:textId="77777777" w:rsidR="005B04B9" w:rsidRPr="005B04B9" w:rsidRDefault="005B04B9" w:rsidP="0086372E">
      <w:pPr>
        <w:spacing w:after="0"/>
        <w:jc w:val="both"/>
        <w:rPr>
          <w:rFonts w:ascii="Times New Roman" w:hAnsi="Times New Roman" w:cs="Times New Roman"/>
          <w:sz w:val="24"/>
          <w:szCs w:val="24"/>
        </w:rPr>
      </w:pPr>
      <w:r w:rsidRPr="005B04B9">
        <w:rPr>
          <w:rFonts w:ascii="Times New Roman" w:hAnsi="Times New Roman" w:cs="Times New Roman"/>
          <w:sz w:val="24"/>
          <w:szCs w:val="24"/>
        </w:rPr>
        <w:t>Когда пенсионер уволится, его пенсия вслед за прибавкой по индексации будет дополнительно увеличена исходя из всех пропущенных повышений.</w:t>
      </w:r>
    </w:p>
    <w:p w14:paraId="2A05DC92" w14:textId="77777777" w:rsidR="005B04B9" w:rsidRPr="005B04B9" w:rsidRDefault="005B04B9" w:rsidP="0086372E">
      <w:pPr>
        <w:spacing w:after="0"/>
        <w:rPr>
          <w:rFonts w:ascii="Times New Roman" w:hAnsi="Times New Roman" w:cs="Times New Roman"/>
          <w:sz w:val="24"/>
          <w:szCs w:val="24"/>
        </w:rPr>
      </w:pPr>
      <w:r w:rsidRPr="005B04B9">
        <w:rPr>
          <w:rFonts w:ascii="Times New Roman" w:hAnsi="Times New Roman" w:cs="Times New Roman"/>
          <w:sz w:val="24"/>
          <w:szCs w:val="24"/>
        </w:rPr>
        <w:t> </w:t>
      </w:r>
    </w:p>
    <w:p w14:paraId="70B658A2" w14:textId="77777777" w:rsidR="00320E52" w:rsidRPr="0086372E" w:rsidRDefault="00320E52" w:rsidP="0086372E">
      <w:pPr>
        <w:spacing w:after="0"/>
        <w:rPr>
          <w:rFonts w:ascii="Times New Roman" w:hAnsi="Times New Roman" w:cs="Times New Roman"/>
          <w:sz w:val="24"/>
          <w:szCs w:val="24"/>
        </w:rPr>
      </w:pPr>
    </w:p>
    <w:sectPr w:rsidR="00320E52" w:rsidRPr="0086372E" w:rsidSect="0086372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B9"/>
    <w:rsid w:val="00320E52"/>
    <w:rsid w:val="004132D6"/>
    <w:rsid w:val="00472DDF"/>
    <w:rsid w:val="005B04B9"/>
    <w:rsid w:val="005D3F5D"/>
    <w:rsid w:val="007244B9"/>
    <w:rsid w:val="00863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82A7"/>
  <w15:chartTrackingRefBased/>
  <w15:docId w15:val="{AD7A425C-CB55-4299-9982-DD8B769A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4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24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244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244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244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244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44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44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44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4B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244B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244B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244B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244B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244B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44B9"/>
    <w:rPr>
      <w:rFonts w:eastAsiaTheme="majorEastAsia" w:cstheme="majorBidi"/>
      <w:color w:val="595959" w:themeColor="text1" w:themeTint="A6"/>
    </w:rPr>
  </w:style>
  <w:style w:type="character" w:customStyle="1" w:styleId="80">
    <w:name w:val="Заголовок 8 Знак"/>
    <w:basedOn w:val="a0"/>
    <w:link w:val="8"/>
    <w:uiPriority w:val="9"/>
    <w:semiHidden/>
    <w:rsid w:val="007244B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44B9"/>
    <w:rPr>
      <w:rFonts w:eastAsiaTheme="majorEastAsia" w:cstheme="majorBidi"/>
      <w:color w:val="272727" w:themeColor="text1" w:themeTint="D8"/>
    </w:rPr>
  </w:style>
  <w:style w:type="paragraph" w:styleId="a3">
    <w:name w:val="Title"/>
    <w:basedOn w:val="a"/>
    <w:next w:val="a"/>
    <w:link w:val="a4"/>
    <w:uiPriority w:val="10"/>
    <w:qFormat/>
    <w:rsid w:val="00724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4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4B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44B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44B9"/>
    <w:pPr>
      <w:spacing w:before="160"/>
      <w:jc w:val="center"/>
    </w:pPr>
    <w:rPr>
      <w:i/>
      <w:iCs/>
      <w:color w:val="404040" w:themeColor="text1" w:themeTint="BF"/>
    </w:rPr>
  </w:style>
  <w:style w:type="character" w:customStyle="1" w:styleId="22">
    <w:name w:val="Цитата 2 Знак"/>
    <w:basedOn w:val="a0"/>
    <w:link w:val="21"/>
    <w:uiPriority w:val="29"/>
    <w:rsid w:val="007244B9"/>
    <w:rPr>
      <w:i/>
      <w:iCs/>
      <w:color w:val="404040" w:themeColor="text1" w:themeTint="BF"/>
    </w:rPr>
  </w:style>
  <w:style w:type="paragraph" w:styleId="a7">
    <w:name w:val="List Paragraph"/>
    <w:basedOn w:val="a"/>
    <w:uiPriority w:val="34"/>
    <w:qFormat/>
    <w:rsid w:val="007244B9"/>
    <w:pPr>
      <w:ind w:left="720"/>
      <w:contextualSpacing/>
    </w:pPr>
  </w:style>
  <w:style w:type="character" w:styleId="a8">
    <w:name w:val="Intense Emphasis"/>
    <w:basedOn w:val="a0"/>
    <w:uiPriority w:val="21"/>
    <w:qFormat/>
    <w:rsid w:val="007244B9"/>
    <w:rPr>
      <w:i/>
      <w:iCs/>
      <w:color w:val="0F4761" w:themeColor="accent1" w:themeShade="BF"/>
    </w:rPr>
  </w:style>
  <w:style w:type="paragraph" w:styleId="a9">
    <w:name w:val="Intense Quote"/>
    <w:basedOn w:val="a"/>
    <w:next w:val="a"/>
    <w:link w:val="aa"/>
    <w:uiPriority w:val="30"/>
    <w:qFormat/>
    <w:rsid w:val="00724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244B9"/>
    <w:rPr>
      <w:i/>
      <w:iCs/>
      <w:color w:val="0F4761" w:themeColor="accent1" w:themeShade="BF"/>
    </w:rPr>
  </w:style>
  <w:style w:type="character" w:styleId="ab">
    <w:name w:val="Intense Reference"/>
    <w:basedOn w:val="a0"/>
    <w:uiPriority w:val="32"/>
    <w:qFormat/>
    <w:rsid w:val="007244B9"/>
    <w:rPr>
      <w:b/>
      <w:bCs/>
      <w:smallCaps/>
      <w:color w:val="0F4761" w:themeColor="accent1" w:themeShade="BF"/>
      <w:spacing w:val="5"/>
    </w:rPr>
  </w:style>
  <w:style w:type="character" w:styleId="ac">
    <w:name w:val="Hyperlink"/>
    <w:basedOn w:val="a0"/>
    <w:uiPriority w:val="99"/>
    <w:unhideWhenUsed/>
    <w:rsid w:val="005D3F5D"/>
    <w:rPr>
      <w:color w:val="467886" w:themeColor="hyperlink"/>
      <w:u w:val="single"/>
    </w:rPr>
  </w:style>
  <w:style w:type="character" w:styleId="ad">
    <w:name w:val="Unresolved Mention"/>
    <w:basedOn w:val="a0"/>
    <w:uiPriority w:val="99"/>
    <w:semiHidden/>
    <w:unhideWhenUsed/>
    <w:rsid w:val="005D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77453">
      <w:bodyDiv w:val="1"/>
      <w:marLeft w:val="0"/>
      <w:marRight w:val="0"/>
      <w:marTop w:val="0"/>
      <w:marBottom w:val="0"/>
      <w:divBdr>
        <w:top w:val="none" w:sz="0" w:space="0" w:color="auto"/>
        <w:left w:val="none" w:sz="0" w:space="0" w:color="auto"/>
        <w:bottom w:val="none" w:sz="0" w:space="0" w:color="auto"/>
        <w:right w:val="none" w:sz="0" w:space="0" w:color="auto"/>
      </w:divBdr>
    </w:div>
    <w:div w:id="426923406">
      <w:bodyDiv w:val="1"/>
      <w:marLeft w:val="0"/>
      <w:marRight w:val="0"/>
      <w:marTop w:val="0"/>
      <w:marBottom w:val="0"/>
      <w:divBdr>
        <w:top w:val="none" w:sz="0" w:space="0" w:color="auto"/>
        <w:left w:val="none" w:sz="0" w:space="0" w:color="auto"/>
        <w:bottom w:val="none" w:sz="0" w:space="0" w:color="auto"/>
        <w:right w:val="none" w:sz="0" w:space="0" w:color="auto"/>
      </w:divBdr>
    </w:div>
    <w:div w:id="597830221">
      <w:bodyDiv w:val="1"/>
      <w:marLeft w:val="0"/>
      <w:marRight w:val="0"/>
      <w:marTop w:val="0"/>
      <w:marBottom w:val="0"/>
      <w:divBdr>
        <w:top w:val="none" w:sz="0" w:space="0" w:color="auto"/>
        <w:left w:val="none" w:sz="0" w:space="0" w:color="auto"/>
        <w:bottom w:val="none" w:sz="0" w:space="0" w:color="auto"/>
        <w:right w:val="none" w:sz="0" w:space="0" w:color="auto"/>
      </w:divBdr>
    </w:div>
    <w:div w:id="628557486">
      <w:bodyDiv w:val="1"/>
      <w:marLeft w:val="0"/>
      <w:marRight w:val="0"/>
      <w:marTop w:val="0"/>
      <w:marBottom w:val="0"/>
      <w:divBdr>
        <w:top w:val="none" w:sz="0" w:space="0" w:color="auto"/>
        <w:left w:val="none" w:sz="0" w:space="0" w:color="auto"/>
        <w:bottom w:val="none" w:sz="0" w:space="0" w:color="auto"/>
        <w:right w:val="none" w:sz="0" w:space="0" w:color="auto"/>
      </w:divBdr>
    </w:div>
    <w:div w:id="1032808597">
      <w:bodyDiv w:val="1"/>
      <w:marLeft w:val="0"/>
      <w:marRight w:val="0"/>
      <w:marTop w:val="0"/>
      <w:marBottom w:val="0"/>
      <w:divBdr>
        <w:top w:val="none" w:sz="0" w:space="0" w:color="auto"/>
        <w:left w:val="none" w:sz="0" w:space="0" w:color="auto"/>
        <w:bottom w:val="none" w:sz="0" w:space="0" w:color="auto"/>
        <w:right w:val="none" w:sz="0" w:space="0" w:color="auto"/>
      </w:divBdr>
    </w:div>
    <w:div w:id="1099713439">
      <w:bodyDiv w:val="1"/>
      <w:marLeft w:val="0"/>
      <w:marRight w:val="0"/>
      <w:marTop w:val="0"/>
      <w:marBottom w:val="0"/>
      <w:divBdr>
        <w:top w:val="none" w:sz="0" w:space="0" w:color="auto"/>
        <w:left w:val="none" w:sz="0" w:space="0" w:color="auto"/>
        <w:bottom w:val="none" w:sz="0" w:space="0" w:color="auto"/>
        <w:right w:val="none" w:sz="0" w:space="0" w:color="auto"/>
      </w:divBdr>
    </w:div>
    <w:div w:id="1173953496">
      <w:bodyDiv w:val="1"/>
      <w:marLeft w:val="0"/>
      <w:marRight w:val="0"/>
      <w:marTop w:val="0"/>
      <w:marBottom w:val="0"/>
      <w:divBdr>
        <w:top w:val="none" w:sz="0" w:space="0" w:color="auto"/>
        <w:left w:val="none" w:sz="0" w:space="0" w:color="auto"/>
        <w:bottom w:val="none" w:sz="0" w:space="0" w:color="auto"/>
        <w:right w:val="none" w:sz="0" w:space="0" w:color="auto"/>
      </w:divBdr>
    </w:div>
    <w:div w:id="1283145827">
      <w:bodyDiv w:val="1"/>
      <w:marLeft w:val="0"/>
      <w:marRight w:val="0"/>
      <w:marTop w:val="0"/>
      <w:marBottom w:val="0"/>
      <w:divBdr>
        <w:top w:val="none" w:sz="0" w:space="0" w:color="auto"/>
        <w:left w:val="none" w:sz="0" w:space="0" w:color="auto"/>
        <w:bottom w:val="none" w:sz="0" w:space="0" w:color="auto"/>
        <w:right w:val="none" w:sz="0" w:space="0" w:color="auto"/>
      </w:divBdr>
    </w:div>
    <w:div w:id="1306736762">
      <w:bodyDiv w:val="1"/>
      <w:marLeft w:val="0"/>
      <w:marRight w:val="0"/>
      <w:marTop w:val="0"/>
      <w:marBottom w:val="0"/>
      <w:divBdr>
        <w:top w:val="none" w:sz="0" w:space="0" w:color="auto"/>
        <w:left w:val="none" w:sz="0" w:space="0" w:color="auto"/>
        <w:bottom w:val="none" w:sz="0" w:space="0" w:color="auto"/>
        <w:right w:val="none" w:sz="0" w:space="0" w:color="auto"/>
      </w:divBdr>
    </w:div>
    <w:div w:id="1597833936">
      <w:bodyDiv w:val="1"/>
      <w:marLeft w:val="0"/>
      <w:marRight w:val="0"/>
      <w:marTop w:val="0"/>
      <w:marBottom w:val="0"/>
      <w:divBdr>
        <w:top w:val="none" w:sz="0" w:space="0" w:color="auto"/>
        <w:left w:val="none" w:sz="0" w:space="0" w:color="auto"/>
        <w:bottom w:val="none" w:sz="0" w:space="0" w:color="auto"/>
        <w:right w:val="none" w:sz="0" w:space="0" w:color="auto"/>
      </w:divBdr>
    </w:div>
    <w:div w:id="1620142406">
      <w:bodyDiv w:val="1"/>
      <w:marLeft w:val="0"/>
      <w:marRight w:val="0"/>
      <w:marTop w:val="0"/>
      <w:marBottom w:val="0"/>
      <w:divBdr>
        <w:top w:val="none" w:sz="0" w:space="0" w:color="auto"/>
        <w:left w:val="none" w:sz="0" w:space="0" w:color="auto"/>
        <w:bottom w:val="none" w:sz="0" w:space="0" w:color="auto"/>
        <w:right w:val="none" w:sz="0" w:space="0" w:color="auto"/>
      </w:divBdr>
    </w:div>
    <w:div w:id="1814324911">
      <w:bodyDiv w:val="1"/>
      <w:marLeft w:val="0"/>
      <w:marRight w:val="0"/>
      <w:marTop w:val="0"/>
      <w:marBottom w:val="0"/>
      <w:divBdr>
        <w:top w:val="none" w:sz="0" w:space="0" w:color="auto"/>
        <w:left w:val="none" w:sz="0" w:space="0" w:color="auto"/>
        <w:bottom w:val="none" w:sz="0" w:space="0" w:color="auto"/>
        <w:right w:val="none" w:sz="0" w:space="0" w:color="auto"/>
      </w:divBdr>
    </w:div>
    <w:div w:id="1882399115">
      <w:bodyDiv w:val="1"/>
      <w:marLeft w:val="0"/>
      <w:marRight w:val="0"/>
      <w:marTop w:val="0"/>
      <w:marBottom w:val="0"/>
      <w:divBdr>
        <w:top w:val="none" w:sz="0" w:space="0" w:color="auto"/>
        <w:left w:val="none" w:sz="0" w:space="0" w:color="auto"/>
        <w:bottom w:val="none" w:sz="0" w:space="0" w:color="auto"/>
        <w:right w:val="none" w:sz="0" w:space="0" w:color="auto"/>
      </w:divBdr>
    </w:div>
    <w:div w:id="1963994236">
      <w:bodyDiv w:val="1"/>
      <w:marLeft w:val="0"/>
      <w:marRight w:val="0"/>
      <w:marTop w:val="0"/>
      <w:marBottom w:val="0"/>
      <w:divBdr>
        <w:top w:val="none" w:sz="0" w:space="0" w:color="auto"/>
        <w:left w:val="none" w:sz="0" w:space="0" w:color="auto"/>
        <w:bottom w:val="none" w:sz="0" w:space="0" w:color="auto"/>
        <w:right w:val="none" w:sz="0" w:space="0" w:color="auto"/>
      </w:divBdr>
    </w:div>
    <w:div w:id="1994137986">
      <w:bodyDiv w:val="1"/>
      <w:marLeft w:val="0"/>
      <w:marRight w:val="0"/>
      <w:marTop w:val="0"/>
      <w:marBottom w:val="0"/>
      <w:divBdr>
        <w:top w:val="none" w:sz="0" w:space="0" w:color="auto"/>
        <w:left w:val="none" w:sz="0" w:space="0" w:color="auto"/>
        <w:bottom w:val="none" w:sz="0" w:space="0" w:color="auto"/>
        <w:right w:val="none" w:sz="0" w:space="0" w:color="auto"/>
      </w:divBdr>
    </w:div>
    <w:div w:id="19956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82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48072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80719/" TargetMode="External"/><Relationship Id="rId11" Type="http://schemas.openxmlformats.org/officeDocument/2006/relationships/hyperlink" Target="https://www.consultant.ru/document/cons_doc_LAW_480995/" TargetMode="External"/><Relationship Id="rId5" Type="http://schemas.openxmlformats.org/officeDocument/2006/relationships/hyperlink" Target="https://login.consultant.ru/link/?req=doc&amp;base=RLAW071&amp;n=382163&amp;date=22.07.2024" TargetMode="External"/><Relationship Id="rId10" Type="http://schemas.openxmlformats.org/officeDocument/2006/relationships/hyperlink" Target="http://www.consultant.ru/document/cons_doc_LAW_480824/" TargetMode="External"/><Relationship Id="rId4" Type="http://schemas.openxmlformats.org/officeDocument/2006/relationships/hyperlink" Target="https://login.consultant.ru/link/?req=doc&amp;base=RLAW071&amp;n=380446&amp;date=03.07.2024" TargetMode="External"/><Relationship Id="rId9" Type="http://schemas.openxmlformats.org/officeDocument/2006/relationships/hyperlink" Target="http://www.consultant.ru/document/cons_doc_LAW_4808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Трошкина</dc:creator>
  <cp:keywords/>
  <dc:description/>
  <cp:lastModifiedBy>Татьяна Трошкина</cp:lastModifiedBy>
  <cp:revision>3</cp:revision>
  <dcterms:created xsi:type="dcterms:W3CDTF">2024-07-22T07:21:00Z</dcterms:created>
  <dcterms:modified xsi:type="dcterms:W3CDTF">2024-07-22T07:58:00Z</dcterms:modified>
</cp:coreProperties>
</file>