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15" w:rsidRPr="00652B22" w:rsidRDefault="00652B22" w:rsidP="00652B22">
      <w:pPr>
        <w:spacing w:after="150" w:line="40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</w:pP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Майские праздники в </w:t>
      </w:r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Санатори</w:t>
      </w: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и</w:t>
      </w:r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proofErr w:type="gramStart"/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–п</w:t>
      </w:r>
      <w:proofErr w:type="gramEnd"/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рофилактори</w:t>
      </w: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и</w:t>
      </w:r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Горный лен, г. Асбест</w:t>
      </w:r>
    </w:p>
    <w:p w:rsidR="00652B22" w:rsidRPr="00AE1215" w:rsidRDefault="00652B22" w:rsidP="00652B22">
      <w:pPr>
        <w:spacing w:after="150" w:line="405" w:lineRule="atLeast"/>
        <w:jc w:val="center"/>
        <w:textAlignment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Со скидкой 15%</w:t>
      </w:r>
      <w:r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на период с 24.04.-13.05.24г.</w:t>
      </w:r>
    </w:p>
    <w:p w:rsidR="00AE1215" w:rsidRPr="00AE1215" w:rsidRDefault="00AE1215" w:rsidP="00AE1215">
      <w:pPr>
        <w:spacing w:after="150" w:line="405" w:lineRule="atLeast"/>
        <w:jc w:val="center"/>
        <w:textAlignment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Для того</w:t>
      </w:r>
      <w:proofErr w:type="gramStart"/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,</w:t>
      </w:r>
      <w:proofErr w:type="gramEnd"/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 чтобы получить максимум пользы от отдыха и лечения в нашем санатории, советуем Вам воспользоваться следующими программами.</w:t>
      </w:r>
    </w:p>
    <w:p w:rsidR="00AE1215" w:rsidRPr="00AE1215" w:rsidRDefault="00AE1215" w:rsidP="00AE1215">
      <w:pPr>
        <w:spacing w:after="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1. Программа «Блиц-оздоровление» (с санаторно-курортной картой)</w:t>
      </w:r>
    </w:p>
    <w:p w:rsidR="00AE1215" w:rsidRPr="00AE1215" w:rsidRDefault="00AE1215" w:rsidP="00AE1215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2162F1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Продолжительность: 4-7 дней</w:t>
      </w: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Стоимость 3570 в день</w:t>
      </w:r>
      <w:r w:rsidR="00652B22"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за 1 место в 2 местном номере </w:t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ПОКАЗАНИЯ: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костно-мышечной системы и соединительной ткани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органов кровообращения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нервной системы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органов дыхания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эндокринной системы</w:t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ЧТО ВХОДИТ В ПРОГРАММУ:</w:t>
      </w:r>
    </w:p>
    <w:tbl>
      <w:tblPr>
        <w:tblW w:w="12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6273"/>
        <w:gridCol w:w="1129"/>
        <w:gridCol w:w="1129"/>
        <w:gridCol w:w="1129"/>
        <w:gridCol w:w="1588"/>
      </w:tblGrid>
      <w:tr w:rsidR="00AE1215" w:rsidRPr="00AE1215" w:rsidTr="00AE1215">
        <w:trPr>
          <w:jc w:val="center"/>
        </w:trPr>
        <w:tc>
          <w:tcPr>
            <w:tcW w:w="435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920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3900" w:type="dxa"/>
            <w:gridSpan w:val="4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Срок путевки (дней)</w:t>
            </w:r>
          </w:p>
        </w:tc>
      </w:tr>
      <w:tr w:rsidR="00AE1215" w:rsidRPr="00AE1215" w:rsidTr="00AE1215">
        <w:trPr>
          <w:jc w:val="center"/>
        </w:trPr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Прием лечащего врача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Основная процедура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анны (ароматические, газовые или пенные)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б)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г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рязелечение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о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зокеритолечение</w:t>
            </w:r>
            <w:proofErr w:type="spellEnd"/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trHeight w:val="477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3 процедуры дополнительного воздействия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м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ассаж (ручной или баночный или подводный душ-массаж)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б)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ппаратная физиотерапия*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и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нгаляции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г)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оляная пещера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д)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г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орный воздух или ароматерапия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е)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м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еханотерапия на аппарате ОРМЕД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ж). СУВ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з)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д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уш Шарко или циркулярный или восходящий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ЛФК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аквааэробика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классическая методика,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йогатерапия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, танцевальная аэробика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Сауна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Фитобар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, кислородный коктейль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Минеральная вода «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Обуховская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trHeight w:val="72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Бонус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Сераджем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свинг-машина, вакуумно-роликовый массаж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Старвак</w:t>
            </w:r>
            <w:proofErr w:type="spellEnd"/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</w:tr>
    </w:tbl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*</w:t>
      </w:r>
      <w:proofErr w:type="spellStart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магнитотерапия</w:t>
      </w:r>
      <w:proofErr w:type="spellEnd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на аппарате ПОЛИМАГ 02 М, СМТ-терапия, электрофорез, ультразвук, </w:t>
      </w:r>
      <w:proofErr w:type="spellStart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магнитолазеротерапия</w:t>
      </w:r>
      <w:proofErr w:type="spellEnd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дарсонвализация, одеяло лечебное многослойное</w:t>
      </w:r>
    </w:p>
    <w:p w:rsid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Во время проведения данной Программы возможно посещение смотровой площадки карьера Уральского горно-обогатительного комбината, получившего в 2023 году почётный статус "Достояние Среднего Урала".</w:t>
      </w:r>
    </w:p>
    <w:p w:rsidR="00652B22" w:rsidRDefault="00652B22" w:rsidP="00AE1215">
      <w:pPr>
        <w:spacing w:after="150" w:line="405" w:lineRule="atLeast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</w:p>
    <w:p w:rsidR="00652B22" w:rsidRDefault="00652B22" w:rsidP="00AE1215">
      <w:pPr>
        <w:spacing w:after="150" w:line="405" w:lineRule="atLeast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</w:p>
    <w:p w:rsidR="00652B22" w:rsidRPr="00AE1215" w:rsidRDefault="00652B22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after="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lastRenderedPageBreak/>
        <w:t>2. Программа «</w:t>
      </w:r>
      <w:proofErr w:type="spellStart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Антистресс</w:t>
      </w:r>
      <w:proofErr w:type="spellEnd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»</w:t>
      </w:r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 (</w:t>
      </w:r>
      <w:proofErr w:type="gramStart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без</w:t>
      </w:r>
      <w:proofErr w:type="gramEnd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 </w:t>
      </w:r>
      <w:proofErr w:type="gramStart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сан-кур</w:t>
      </w:r>
      <w:proofErr w:type="gramEnd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 карты)</w:t>
      </w:r>
    </w:p>
    <w:p w:rsidR="00AE1215" w:rsidRPr="00AE1215" w:rsidRDefault="00AE1215" w:rsidP="00AE1215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652B22" w:rsidRPr="002162F1" w:rsidRDefault="00AE1215" w:rsidP="00652B22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Продолжительность: 4-7 дней</w:t>
      </w: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Стоимость 3187 в день </w:t>
      </w:r>
      <w:r w:rsidR="00652B22"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за 1 место в 2 местном номере  </w:t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ЧТО ВХОДИТ В ПРОГРАММУ:</w:t>
      </w:r>
    </w:p>
    <w:tbl>
      <w:tblPr>
        <w:tblW w:w="12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6281"/>
        <w:gridCol w:w="1135"/>
        <w:gridCol w:w="1135"/>
        <w:gridCol w:w="1135"/>
        <w:gridCol w:w="1593"/>
      </w:tblGrid>
      <w:tr w:rsidR="00AE1215" w:rsidRPr="00AE1215" w:rsidTr="00AE1215">
        <w:trPr>
          <w:jc w:val="center"/>
        </w:trPr>
        <w:tc>
          <w:tcPr>
            <w:tcW w:w="435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145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4095" w:type="dxa"/>
            <w:gridSpan w:val="4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Срок путевки (дней)</w:t>
            </w:r>
          </w:p>
        </w:tc>
      </w:tr>
      <w:tr w:rsidR="00AE1215" w:rsidRPr="00AE1215" w:rsidTr="00AE1215">
        <w:trPr>
          <w:jc w:val="center"/>
        </w:trPr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Прием лечащего врача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Специальная диета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Основная процедура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ванна с «Английской солью»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или другая ванна с седативным эффектом на выбор (ароматическая, газовая, пенная)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trHeight w:val="66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 воротниковой зоны или массаж спины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или подводный душ-массаж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</w:tr>
      <w:tr w:rsidR="00AE1215" w:rsidRPr="00AE1215" w:rsidTr="00AE1215">
        <w:trPr>
          <w:trHeight w:val="54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Кровать-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массажер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Сераджем</w:t>
            </w:r>
            <w:proofErr w:type="spellEnd"/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trHeight w:val="54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Горный воздух или ароматерапия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ЛФК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выбор: аутогенная тренировка,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аквааэробика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классическая методика,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йогатерапия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, танцевальная аэробика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Сауна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Фитобар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, кислородный коктейль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Минеральная вода «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Обуховская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</w:tbl>
    <w:p w:rsidR="00AE1215" w:rsidRPr="00AE1215" w:rsidRDefault="00AE1215" w:rsidP="00652B22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lastRenderedPageBreak/>
        <w:t>При наличии санаторно-курортной карты возможно расширение программы оздоровления!</w:t>
      </w:r>
    </w:p>
    <w:p w:rsidR="00AE1215" w:rsidRPr="00AE1215" w:rsidRDefault="00AE1215" w:rsidP="00AE1215">
      <w:pPr>
        <w:spacing w:after="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3. Программа «Время </w:t>
      </w:r>
      <w:proofErr w:type="spellStart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стройнеть</w:t>
      </w:r>
      <w:proofErr w:type="spellEnd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»</w:t>
      </w:r>
    </w:p>
    <w:p w:rsidR="00AE1215" w:rsidRPr="00AE1215" w:rsidRDefault="00AE1215" w:rsidP="00AE1215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652B22" w:rsidRPr="002162F1" w:rsidRDefault="00AE1215" w:rsidP="00652B22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Продолжительность: 4-7 дней</w:t>
      </w: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bookmarkStart w:id="0" w:name="_GoBack"/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Стоимость 3315 в день </w:t>
      </w:r>
      <w:r w:rsidR="00652B22"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за 1 место в 2 местном номере  </w:t>
      </w:r>
    </w:p>
    <w:p w:rsidR="00AE1215" w:rsidRPr="002162F1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bookmarkEnd w:id="0"/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ПОКАЗАНИЯ:</w:t>
      </w:r>
    </w:p>
    <w:p w:rsidR="00AE1215" w:rsidRPr="00AE1215" w:rsidRDefault="00AE1215" w:rsidP="00AE1215">
      <w:pPr>
        <w:numPr>
          <w:ilvl w:val="0"/>
          <w:numId w:val="5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Избыточный вес</w:t>
      </w:r>
    </w:p>
    <w:p w:rsidR="00AE1215" w:rsidRPr="00AE1215" w:rsidRDefault="00AE1215" w:rsidP="00AE1215">
      <w:pPr>
        <w:numPr>
          <w:ilvl w:val="0"/>
          <w:numId w:val="5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Психологическая зависимость от еды</w:t>
      </w:r>
    </w:p>
    <w:p w:rsidR="00AE1215" w:rsidRPr="00AE1215" w:rsidRDefault="00AE1215" w:rsidP="00AE1215">
      <w:pPr>
        <w:numPr>
          <w:ilvl w:val="0"/>
          <w:numId w:val="5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Неконтролируемый аппетит</w:t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ОЖИДАЕМЫЙ ЭФФЕКТ:</w:t>
      </w:r>
    </w:p>
    <w:p w:rsidR="00AE1215" w:rsidRPr="00AE1215" w:rsidRDefault="00AE1215" w:rsidP="00AE1215">
      <w:pPr>
        <w:numPr>
          <w:ilvl w:val="0"/>
          <w:numId w:val="6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Формирование мотивации к снижению веса</w:t>
      </w:r>
    </w:p>
    <w:p w:rsidR="00AE1215" w:rsidRPr="00AE1215" w:rsidRDefault="00AE1215" w:rsidP="00AE1215">
      <w:pPr>
        <w:numPr>
          <w:ilvl w:val="0"/>
          <w:numId w:val="6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Формирование заинтересованности в контроле над аппетитом</w:t>
      </w:r>
    </w:p>
    <w:p w:rsidR="00AE1215" w:rsidRPr="00AE1215" w:rsidRDefault="00AE1215" w:rsidP="00AE1215">
      <w:pPr>
        <w:numPr>
          <w:ilvl w:val="0"/>
          <w:numId w:val="6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Первый шаг к снижению веса</w:t>
      </w: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ЧТО ВХОДИТ В ПРОГРАММУ:</w:t>
      </w:r>
    </w:p>
    <w:tbl>
      <w:tblPr>
        <w:tblW w:w="12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998"/>
        <w:gridCol w:w="1196"/>
        <w:gridCol w:w="1196"/>
        <w:gridCol w:w="1196"/>
        <w:gridCol w:w="1714"/>
      </w:tblGrid>
      <w:tr w:rsidR="00AE1215" w:rsidRPr="00AE1215" w:rsidTr="00AE1215">
        <w:trPr>
          <w:jc w:val="center"/>
        </w:trPr>
        <w:tc>
          <w:tcPr>
            <w:tcW w:w="570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040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4455" w:type="dxa"/>
            <w:gridSpan w:val="4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Срок путевки (дней)</w:t>
            </w:r>
          </w:p>
        </w:tc>
      </w:tr>
      <w:tr w:rsidR="00AE1215" w:rsidRPr="00AE1215" w:rsidTr="00AE1215">
        <w:trPr>
          <w:jc w:val="center"/>
        </w:trPr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Прием лечащего врача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Специальная диета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3.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Детокс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-коктейли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Ванны на выбор: ароматические, газовые, пенные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 ручной или баночный или подводный душ-массаж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Прессотерапия</w:t>
            </w:r>
            <w:proofErr w:type="spellEnd"/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Кровать-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массажер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Сераджем</w:t>
            </w:r>
            <w:proofErr w:type="spellEnd"/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Гидротерапия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(душ Шарко или циркулярный на выбор)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ЛФК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выбор: аутогенная тренировка,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аквааэробика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классическая методика,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йогатерапия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, танцевальная аэробика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Сауна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Фитобар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, кислородный коктейль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Минеральная вода «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Обуховская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</w:tbl>
    <w:p w:rsidR="00AE1215" w:rsidRPr="00AE1215" w:rsidRDefault="00AE1215" w:rsidP="00EE4CE8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При наличии санаторно-курортной карты возможно расширение программы оздоровления!</w:t>
      </w:r>
    </w:p>
    <w:p w:rsidR="00901567" w:rsidRDefault="00901567"/>
    <w:sectPr w:rsidR="009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529"/>
    <w:multiLevelType w:val="multilevel"/>
    <w:tmpl w:val="3B6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815D2"/>
    <w:multiLevelType w:val="multilevel"/>
    <w:tmpl w:val="7F3A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165C1"/>
    <w:multiLevelType w:val="multilevel"/>
    <w:tmpl w:val="C28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0158F"/>
    <w:multiLevelType w:val="multilevel"/>
    <w:tmpl w:val="9578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506B2"/>
    <w:multiLevelType w:val="multilevel"/>
    <w:tmpl w:val="28E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6131E"/>
    <w:multiLevelType w:val="multilevel"/>
    <w:tmpl w:val="57F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15"/>
    <w:rsid w:val="002162F1"/>
    <w:rsid w:val="00652B22"/>
    <w:rsid w:val="00901567"/>
    <w:rsid w:val="00AE1215"/>
    <w:rsid w:val="00E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1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1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1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921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1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156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6932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2024-03-27T11:14:00Z</cp:lastPrinted>
  <dcterms:created xsi:type="dcterms:W3CDTF">2024-03-27T10:25:00Z</dcterms:created>
  <dcterms:modified xsi:type="dcterms:W3CDTF">2024-03-27T11:18:00Z</dcterms:modified>
</cp:coreProperties>
</file>