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6CEF" w14:textId="77777777" w:rsidR="0099128D" w:rsidRPr="0099128D" w:rsidRDefault="0099128D" w:rsidP="0099128D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bookmarkStart w:id="0" w:name="_Hlk171517903"/>
      <w:bookmarkEnd w:id="0"/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Анализ </w:t>
      </w:r>
    </w:p>
    <w:p w14:paraId="49B6CCAA" w14:textId="77777777" w:rsidR="0099128D" w:rsidRPr="0099128D" w:rsidRDefault="0099128D" w:rsidP="0099128D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>состояния аварийности и детского дорожно-транспортного травматизма на территории Сысертского района</w:t>
      </w:r>
    </w:p>
    <w:p w14:paraId="04D6664F" w14:textId="77777777" w:rsidR="0099128D" w:rsidRPr="0099128D" w:rsidRDefault="0099128D" w:rsidP="0099128D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  <w:t xml:space="preserve">   за один месяц 2025 года</w:t>
      </w:r>
    </w:p>
    <w:p w14:paraId="301FA24B" w14:textId="77777777" w:rsidR="0099128D" w:rsidRPr="0099128D" w:rsidRDefault="0099128D" w:rsidP="0099128D">
      <w:pPr>
        <w:spacing w:after="0" w:line="240" w:lineRule="auto"/>
        <w:ind w:firstLine="709"/>
        <w:jc w:val="center"/>
        <w:rPr>
          <w:rFonts w:ascii="Times New Roman" w:eastAsia="Tahoma" w:hAnsi="Times New Roman" w:cs="Times New Roman"/>
          <w:b/>
          <w:bCs/>
          <w:sz w:val="26"/>
          <w:szCs w:val="26"/>
          <w:lang w:eastAsia="ru-RU" w:bidi="hi-IN"/>
          <w14:ligatures w14:val="none"/>
        </w:rPr>
      </w:pPr>
    </w:p>
    <w:p w14:paraId="48A1D68F" w14:textId="77777777" w:rsidR="0099128D" w:rsidRPr="0099128D" w:rsidRDefault="0099128D" w:rsidP="0099128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По итогам 1 месяца 2025 года в районе зарегистрировано 113 ДТП (АППГ 2024 г. – 146; -22 %), из них учетных 5 ДТП (за АППГ 2024 г. – 6; -16 %), в результате которых получили ранения различной степени тяжести 5 человек (за АППГ 2023 г. – 5; 0 %), погибло 0 человек (за АППГ 2024 г. – 2; - 200 %).</w:t>
      </w:r>
    </w:p>
    <w:p w14:paraId="03B11873" w14:textId="77777777" w:rsidR="0099128D" w:rsidRPr="0099128D" w:rsidRDefault="0099128D" w:rsidP="0099128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eastAsia="Tahoma" w:hAnsi="Times New Roman" w:cs="Times New Roman"/>
          <w:noProof/>
          <w:sz w:val="26"/>
          <w:szCs w:val="26"/>
          <w:lang w:eastAsia="ru-RU" w:bidi="hi-IN"/>
          <w14:ligatures w14:val="none"/>
        </w:rPr>
        <w:drawing>
          <wp:anchor distT="0" distB="0" distL="114300" distR="114300" simplePos="0" relativeHeight="251659264" behindDoc="0" locked="0" layoutInCell="1" allowOverlap="1" wp14:anchorId="24913842" wp14:editId="7227F37F">
            <wp:simplePos x="0" y="0"/>
            <wp:positionH relativeFrom="margin">
              <wp:posOffset>-100965</wp:posOffset>
            </wp:positionH>
            <wp:positionV relativeFrom="paragraph">
              <wp:posOffset>38735</wp:posOffset>
            </wp:positionV>
            <wp:extent cx="4333875" cy="2476500"/>
            <wp:effectExtent l="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 xml:space="preserve"> Зарегистрировано 0 ДТП по вине пешеходов (за АППГ 2024 г. - 1; -100 %), в результате которых ранено 0 человек (за АППГ 2024 г. - 1; -100 %), погибло 0 человек (за АППГ 2024 г. – 0; 0 %).</w:t>
      </w:r>
    </w:p>
    <w:p w14:paraId="3C03A7DA" w14:textId="77777777" w:rsidR="0099128D" w:rsidRPr="0099128D" w:rsidRDefault="0099128D" w:rsidP="0099128D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</w:p>
    <w:p w14:paraId="734B393F" w14:textId="77777777" w:rsidR="0099128D" w:rsidRPr="0099128D" w:rsidRDefault="0099128D" w:rsidP="0099128D">
      <w:pPr>
        <w:tabs>
          <w:tab w:val="left" w:pos="7515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</w:p>
    <w:p w14:paraId="27E02B09" w14:textId="77777777" w:rsidR="0099128D" w:rsidRPr="0099128D" w:rsidRDefault="0099128D" w:rsidP="0099128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ДТП из-за нарушений правил проезда пешеходного перехода - 0 (за АППГ 2024 г. – 1; - 100 %), ранено – 0 (за АППГ 2024 г. – 0; 0 %), погибло - 0 (за АППГ 2024 г.- 1; - 100%).</w:t>
      </w:r>
    </w:p>
    <w:p w14:paraId="5DDFC991" w14:textId="77777777" w:rsidR="0099128D" w:rsidRPr="0099128D" w:rsidRDefault="0099128D" w:rsidP="0099128D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</w:p>
    <w:p w14:paraId="6D449C96" w14:textId="77777777" w:rsidR="0099128D" w:rsidRPr="0099128D" w:rsidRDefault="0099128D" w:rsidP="0099128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ДТП с участием водителя, скрывшегося с места ДТП – 8 (АППГ 2024 г. – 23; -65%), в результате которых ранено 0 человек (АППГ 2024 г. – 0; 0%), погибло 0 человек (АППГ 2024 г. – 0; 0%).</w:t>
      </w:r>
    </w:p>
    <w:p w14:paraId="7C380952" w14:textId="77777777" w:rsidR="0099128D" w:rsidRPr="0099128D" w:rsidRDefault="0099128D" w:rsidP="0099128D">
      <w:pPr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</w:p>
    <w:p w14:paraId="0CCA7F1C" w14:textId="77777777" w:rsidR="0099128D" w:rsidRPr="0099128D" w:rsidRDefault="0099128D" w:rsidP="0099128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Дорожно-транспортных происшествий с водителями автобусов - 0 (за АППГ 2024 г. – 0; 0%), в результате которых ранено 0 человек (АППГ 2024 г. - 0; 0%), погибло – 0 (АППГ 2024 г. – 0; 0%).</w:t>
      </w:r>
    </w:p>
    <w:p w14:paraId="4F7B1370" w14:textId="77777777" w:rsidR="0099128D" w:rsidRPr="0099128D" w:rsidRDefault="0099128D" w:rsidP="0099128D">
      <w:pPr>
        <w:tabs>
          <w:tab w:val="left" w:pos="6195"/>
        </w:tabs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zh-CN" w:bidi="hi-IN"/>
          <w14:ligatures w14:val="none"/>
        </w:rPr>
      </w:pPr>
    </w:p>
    <w:p w14:paraId="3FA5875B" w14:textId="77777777" w:rsidR="0099128D" w:rsidRPr="0099128D" w:rsidRDefault="0099128D" w:rsidP="0099128D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Основными причинами совершения дорожно-транспортных происшествий, в которых пострадали люди, явились:</w:t>
      </w:r>
    </w:p>
    <w:p w14:paraId="4C467577" w14:textId="77777777" w:rsidR="0099128D" w:rsidRPr="0099128D" w:rsidRDefault="0099128D" w:rsidP="0099128D">
      <w:pPr>
        <w:tabs>
          <w:tab w:val="left" w:pos="567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 xml:space="preserve">        - Несоответствие скорости конкретным условиям движения (1)</w:t>
      </w:r>
    </w:p>
    <w:p w14:paraId="4615340A" w14:textId="77777777" w:rsidR="0099128D" w:rsidRPr="0099128D" w:rsidRDefault="0099128D" w:rsidP="0099128D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 Выезд на полосу встречного движения (1)</w:t>
      </w:r>
    </w:p>
    <w:p w14:paraId="367A4D5C" w14:textId="77777777" w:rsidR="0099128D" w:rsidRPr="0099128D" w:rsidRDefault="0099128D" w:rsidP="0099128D">
      <w:pPr>
        <w:spacing w:after="0" w:line="240" w:lineRule="auto"/>
        <w:ind w:firstLine="540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-Несоблюдение очередности проезда</w:t>
      </w:r>
    </w:p>
    <w:p w14:paraId="0CF68137" w14:textId="77777777" w:rsidR="0099128D" w:rsidRPr="0099128D" w:rsidRDefault="0099128D" w:rsidP="0099128D">
      <w:pPr>
        <w:tabs>
          <w:tab w:val="left" w:pos="6195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       - Выезд на полосу встречного движения в местах, где это запрещено (1)</w:t>
      </w:r>
    </w:p>
    <w:p w14:paraId="67C7D6B2" w14:textId="77777777" w:rsidR="0099128D" w:rsidRPr="0099128D" w:rsidRDefault="0099128D" w:rsidP="0099128D">
      <w:pPr>
        <w:tabs>
          <w:tab w:val="left" w:pos="6195"/>
        </w:tabs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zh-CN" w:bidi="hi-IN"/>
          <w14:ligatures w14:val="none"/>
        </w:rPr>
        <w:t xml:space="preserve">        - Нарушение правил перестроения (1)</w:t>
      </w:r>
    </w:p>
    <w:p w14:paraId="788461F2" w14:textId="77777777" w:rsidR="0099128D" w:rsidRPr="0099128D" w:rsidRDefault="0099128D" w:rsidP="0099128D">
      <w:pPr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</w:pPr>
      <w:r w:rsidRPr="0099128D">
        <w:rPr>
          <w:rFonts w:ascii="Times New Roman" w:eastAsia="Tahoma" w:hAnsi="Times New Roman" w:cs="Times New Roman"/>
          <w:sz w:val="26"/>
          <w:szCs w:val="26"/>
          <w:lang w:eastAsia="ru-RU" w:bidi="hi-IN"/>
          <w14:ligatures w14:val="none"/>
        </w:rPr>
        <w:t>С участием детей зарегистрировано 0 дорожно-транспортных происшествий (за АППГ 2024 г. – 0; 0 %), ранено 0 (за АППГ 2024 г. 0;  0 %), погибло 0 (за АППГ 2024 г. – 0; 0 %).</w:t>
      </w:r>
    </w:p>
    <w:p w14:paraId="09AE87B7" w14:textId="77777777" w:rsidR="0099128D" w:rsidRPr="0099128D" w:rsidRDefault="0099128D" w:rsidP="00991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6"/>
          <w:szCs w:val="26"/>
          <w:lang w:eastAsia="zh-CN" w:bidi="hi-IN"/>
          <w14:ligatures w14:val="none"/>
        </w:rPr>
      </w:pPr>
    </w:p>
    <w:p w14:paraId="07992245" w14:textId="77777777" w:rsidR="0099128D" w:rsidRPr="0099128D" w:rsidRDefault="0099128D" w:rsidP="0099128D">
      <w:pPr>
        <w:tabs>
          <w:tab w:val="left" w:pos="2430"/>
        </w:tabs>
        <w:spacing w:line="259" w:lineRule="auto"/>
        <w:jc w:val="center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НЕОБХОДИМО:</w:t>
      </w:r>
    </w:p>
    <w:p w14:paraId="18C459AE" w14:textId="77777777" w:rsidR="0099128D" w:rsidRPr="0099128D" w:rsidRDefault="0099128D" w:rsidP="0099128D">
      <w:pPr>
        <w:numPr>
          <w:ilvl w:val="0"/>
          <w:numId w:val="1"/>
        </w:numPr>
        <w:tabs>
          <w:tab w:val="left" w:pos="2430"/>
        </w:tabs>
        <w:spacing w:after="0" w:line="259" w:lineRule="auto"/>
        <w:contextualSpacing/>
        <w:jc w:val="both"/>
        <w:rPr>
          <w:rFonts w:ascii="Times New Roman" w:eastAsia="Tahoma" w:hAnsi="Times New Roman" w:cs="Times New Roman"/>
          <w:b/>
          <w:bCs/>
          <w:i/>
          <w:iCs/>
          <w:sz w:val="26"/>
          <w:szCs w:val="26"/>
          <w:lang w:eastAsia="zh-CN" w:bidi="hi-IN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 xml:space="preserve">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на средствах индивидуальной мобильности (СИМ), велосипедах, исключения игр вблизи проезжей части. </w:t>
      </w:r>
    </w:p>
    <w:p w14:paraId="3FB12CEC" w14:textId="77777777" w:rsidR="0099128D" w:rsidRPr="0099128D" w:rsidRDefault="0099128D" w:rsidP="0099128D">
      <w:pPr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2430"/>
        </w:tabs>
        <w:spacing w:line="259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Продолжить разъяснительную работу с родителями о необходимости соблюдения ПДД детьми на родительских собраниях, размещение информации в родительских чатах, электронных дневниках, социальных сетях о необходимости контроля за досугом детей, соблюдения правил перевозки детей в автомобиле.</w:t>
      </w:r>
    </w:p>
    <w:p w14:paraId="0B1522DE" w14:textId="77777777" w:rsidR="0099128D" w:rsidRPr="0099128D" w:rsidRDefault="0099128D" w:rsidP="0099128D">
      <w:pPr>
        <w:numPr>
          <w:ilvl w:val="0"/>
          <w:numId w:val="1"/>
        </w:numPr>
        <w:tabs>
          <w:tab w:val="left" w:pos="426"/>
          <w:tab w:val="left" w:pos="851"/>
          <w:tab w:val="left" w:pos="993"/>
          <w:tab w:val="left" w:pos="2430"/>
        </w:tabs>
        <w:spacing w:line="259" w:lineRule="auto"/>
        <w:contextualSpacing/>
        <w:jc w:val="both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kern w:val="0"/>
          <w:sz w:val="26"/>
          <w:szCs w:val="26"/>
          <w14:ligatures w14:val="none"/>
        </w:rPr>
        <w:t>Активизировать участие «Родительских патрулей», педагогического состава и отрядов ЮИД в мероприятиях по контролю за соблюдением ПДД детьми и их родителями вблизи образовательных организаций (соблюдение родителями правил перевозки детей в автомобилях, детьми-пешеходами правил перехода проезжей части, наличие у них световозвращающих элементов).</w:t>
      </w:r>
    </w:p>
    <w:p w14:paraId="44E75CEA" w14:textId="77777777" w:rsidR="0099128D" w:rsidRPr="0099128D" w:rsidRDefault="0099128D" w:rsidP="0099128D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</w:p>
    <w:p w14:paraId="7AE454AC" w14:textId="77777777" w:rsidR="0099128D" w:rsidRPr="0099128D" w:rsidRDefault="0099128D" w:rsidP="0099128D">
      <w:pPr>
        <w:tabs>
          <w:tab w:val="left" w:pos="2430"/>
        </w:tabs>
        <w:spacing w:after="0" w:line="259" w:lineRule="auto"/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</w:pPr>
      <w:r w:rsidRPr="0099128D">
        <w:rPr>
          <w:rFonts w:ascii="Times New Roman" w:hAnsi="Times New Roman" w:cs="Times New Roman"/>
          <w:i/>
          <w:iCs/>
          <w:kern w:val="0"/>
          <w:sz w:val="26"/>
          <w:szCs w:val="26"/>
          <w14:ligatures w14:val="none"/>
        </w:rPr>
        <w:t>Отделение Госавтоинспекции МО МВД России «Сысертский»</w:t>
      </w:r>
    </w:p>
    <w:p w14:paraId="4A3EBACD" w14:textId="77777777" w:rsidR="00B55D01" w:rsidRDefault="00B55D01"/>
    <w:sectPr w:rsidR="00B55D01" w:rsidSect="009912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A7FBA"/>
    <w:multiLevelType w:val="hybridMultilevel"/>
    <w:tmpl w:val="C9FEC40A"/>
    <w:lvl w:ilvl="0" w:tplc="E1C263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9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657D24"/>
    <w:rsid w:val="0099128D"/>
    <w:rsid w:val="00B5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B291B2-1C5C-4559-9438-3BAAA859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5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D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D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D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D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D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D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D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D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D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D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5D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D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D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5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00D-4AF6-8ADE-4F55DE4DDC8F}"/>
                </c:ext>
              </c:extLst>
            </c:dLbl>
            <c:dLbl>
              <c:idx val="1"/>
              <c:layout>
                <c:manualLayout>
                  <c:x val="-2.9304029304029304E-3"/>
                  <c:y val="-5.128205128205128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00D-4AF6-8ADE-4F55DE4DDC8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00D-4AF6-8ADE-4F55DE4DD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0D-4AF6-8ADE-4F55DE4DDC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200D-4AF6-8ADE-4F55DE4DDC8F}"/>
                </c:ext>
              </c:extLst>
            </c:dLbl>
            <c:dLbl>
              <c:idx val="1"/>
              <c:layout>
                <c:manualLayout>
                  <c:x val="-1.1848842493164512E-16"/>
                  <c:y val="1.586462189317820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00D-4AF6-8ADE-4F55DE4DDC8F}"/>
                </c:ext>
              </c:extLst>
            </c:dLbl>
            <c:dLbl>
              <c:idx val="2"/>
              <c:layout>
                <c:manualLayout>
                  <c:x val="-1.172161172161182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00D-4AF6-8ADE-4F55DE4DDC8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Ранено</c:v>
                </c:pt>
                <c:pt idx="2">
                  <c:v>Погибло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200D-4AF6-8ADE-4F55DE4DDC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74812296"/>
        <c:axId val="174815576"/>
      </c:barChart>
      <c:catAx>
        <c:axId val="17481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5576"/>
        <c:crosses val="autoZero"/>
        <c:auto val="1"/>
        <c:lblAlgn val="ctr"/>
        <c:lblOffset val="100"/>
        <c:noMultiLvlLbl val="0"/>
      </c:catAx>
      <c:valAx>
        <c:axId val="174815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4812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147257623724872"/>
          <c:y val="0.93207091875208248"/>
          <c:w val="0.22131579944259541"/>
          <c:h val="6.79290812479174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2025-02-25T05:31:00Z</dcterms:created>
  <dcterms:modified xsi:type="dcterms:W3CDTF">2025-02-25T05:31:00Z</dcterms:modified>
</cp:coreProperties>
</file>